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/******************************************************************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*  * Example sketch RGB LED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*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* Make an RGB LED display a different colors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*  HOOK UP YOUR COMMON (LONG PIN) TO 5V NOT GND)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*  *****************************************************************/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const int RED_PIN = 9;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const int GREEN_PIN = 10;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const int BLUE_PIN = 11;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const int DISPLAY_TIME = 1000;  // used in mainColors() to determine the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// length of time each color is displayed.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void setup()    //Configure the Arduino pins to be outputs to drive  the LEDs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 pinMode(RED_PIN, OUTPUT);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pinMode(GREEN_PIN, OUTPUT);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pinMode(BLUE_PIN, OUTPUT);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void loop()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mainColors();        // Red, Green, Blue, Yellow, Cyan, Purple, White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}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/******************************************************************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* void mainColors()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* This function displays the eight "main" colors that the RGB LED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* can produce. If you'd like to use one of these colors in your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* own sketch, you can copy and paste that section into your code.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/*****************************************************************/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void mainColors()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// all LEDs off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digitalWrite(RED_PIN,HIGH);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digitalWrite(GREEN_PIN,HIGH);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HIGH);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 // Red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digitalWrite(RED_PIN,LOW);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HIGH);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HIGH);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 // Green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HIGH);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digitalWrite(GREEN_PIN,LOW);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HIGH);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 // Blue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HIGH);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HIGH);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LOW);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// Yellow (Red and Green)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LOW);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LOW);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HIGH);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 // Cyan (Green and Blue)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HIGH);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LOW);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LOW);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 // Purple (Red and Blue)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LOW);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HIGH);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LOW);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 // White (turn all the LEDs on)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 digitalWrite(RED_PIN, LOW);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digitalWrite(GREEN_PIN, LOW);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digitalWrite(BLUE_PIN, LOW);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delay(DISPLAY_TIME);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